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FE03" w14:textId="77777777" w:rsidR="004C3442" w:rsidRPr="004C3442" w:rsidRDefault="004C3442" w:rsidP="004C3442">
      <w:pPr>
        <w:jc w:val="center"/>
        <w:rPr>
          <w:rFonts w:cs="Calibri"/>
          <w:b/>
          <w:sz w:val="28"/>
          <w:szCs w:val="28"/>
        </w:rPr>
      </w:pPr>
      <w:r w:rsidRPr="004C3442">
        <w:rPr>
          <w:rFonts w:cs="Calibri"/>
          <w:b/>
          <w:sz w:val="28"/>
          <w:szCs w:val="28"/>
        </w:rPr>
        <w:t>Ordinance No. _____ -24</w:t>
      </w:r>
    </w:p>
    <w:p w14:paraId="60A16B37" w14:textId="77777777" w:rsidR="004C3442" w:rsidRPr="004C3442" w:rsidRDefault="004C3442" w:rsidP="004C3442">
      <w:pPr>
        <w:ind w:left="720" w:right="720"/>
        <w:jc w:val="center"/>
        <w:rPr>
          <w:rFonts w:cs="Calibri"/>
          <w:b/>
          <w:sz w:val="16"/>
          <w:szCs w:val="16"/>
        </w:rPr>
      </w:pPr>
    </w:p>
    <w:p w14:paraId="2B9B0AAD" w14:textId="77777777" w:rsidR="004C3442" w:rsidRPr="004C3442" w:rsidRDefault="004C3442" w:rsidP="004C3442">
      <w:pPr>
        <w:ind w:left="720" w:right="720"/>
        <w:jc w:val="center"/>
        <w:rPr>
          <w:rFonts w:cs="Calibri"/>
          <w:b/>
          <w:bCs/>
          <w:sz w:val="28"/>
          <w:szCs w:val="28"/>
        </w:rPr>
      </w:pPr>
      <w:r w:rsidRPr="004C3442">
        <w:rPr>
          <w:rFonts w:cs="Calibri"/>
          <w:b/>
          <w:sz w:val="28"/>
          <w:szCs w:val="28"/>
        </w:rPr>
        <w:t xml:space="preserve">Ordinance amending St. Louis Park City Code chapter 3, sections </w:t>
      </w:r>
      <w:r w:rsidRPr="004C3442">
        <w:rPr>
          <w:rFonts w:cs="Calibri"/>
          <w:b/>
          <w:bCs/>
          <w:sz w:val="28"/>
          <w:szCs w:val="28"/>
        </w:rPr>
        <w:t>57(m) and (o) and section 70(g)</w:t>
      </w:r>
      <w:r w:rsidRPr="004C3442">
        <w:rPr>
          <w:rFonts w:cs="Calibri"/>
          <w:b/>
          <w:sz w:val="28"/>
          <w:szCs w:val="28"/>
        </w:rPr>
        <w:t xml:space="preserve"> related to alcoholic </w:t>
      </w:r>
      <w:proofErr w:type="gramStart"/>
      <w:r w:rsidRPr="004C3442">
        <w:rPr>
          <w:rFonts w:cs="Calibri"/>
          <w:b/>
          <w:sz w:val="28"/>
          <w:szCs w:val="28"/>
        </w:rPr>
        <w:t>beverages</w:t>
      </w:r>
      <w:proofErr w:type="gramEnd"/>
    </w:p>
    <w:p w14:paraId="75F565B0" w14:textId="77777777" w:rsidR="004C3442" w:rsidRPr="004C3442" w:rsidRDefault="004C3442" w:rsidP="004C3442">
      <w:pPr>
        <w:rPr>
          <w:rFonts w:cs="Calibri"/>
          <w:b/>
          <w:sz w:val="18"/>
          <w:szCs w:val="18"/>
        </w:rPr>
      </w:pPr>
    </w:p>
    <w:p w14:paraId="624AFEC8" w14:textId="77777777" w:rsidR="004C3442" w:rsidRDefault="004C3442" w:rsidP="004C3442">
      <w:pPr>
        <w:rPr>
          <w:rFonts w:cs="Calibri"/>
          <w:b/>
          <w:szCs w:val="24"/>
        </w:rPr>
      </w:pPr>
      <w:r>
        <w:rPr>
          <w:rFonts w:cs="Calibri"/>
          <w:b/>
          <w:szCs w:val="24"/>
        </w:rPr>
        <w:t>The city council of the City of St. Louis Park, Minnesota does ordain:</w:t>
      </w:r>
    </w:p>
    <w:p w14:paraId="721D2395" w14:textId="77777777" w:rsidR="004C3442" w:rsidRDefault="004C3442" w:rsidP="004C3442">
      <w:pPr>
        <w:rPr>
          <w:rFonts w:cs="Calibri"/>
          <w:b/>
          <w:sz w:val="16"/>
          <w:szCs w:val="16"/>
        </w:rPr>
      </w:pPr>
    </w:p>
    <w:p w14:paraId="62EAFEAB" w14:textId="77777777" w:rsidR="004C3442" w:rsidRDefault="004C3442" w:rsidP="004C3442">
      <w:pPr>
        <w:rPr>
          <w:rFonts w:cs="Calibri"/>
          <w:szCs w:val="24"/>
        </w:rPr>
      </w:pPr>
      <w:r>
        <w:rPr>
          <w:rFonts w:cs="Calibri"/>
          <w:szCs w:val="24"/>
        </w:rPr>
        <w:t>Section 1. St. Louis Park City Code chapter 3 is amended as follows by deleting strikethrough language and adding underlined language:</w:t>
      </w:r>
    </w:p>
    <w:p w14:paraId="6C38C38E" w14:textId="77777777" w:rsidR="004C3442" w:rsidRDefault="004C3442" w:rsidP="004C3442">
      <w:pPr>
        <w:rPr>
          <w:rFonts w:cs="Calibri"/>
          <w:sz w:val="16"/>
          <w:szCs w:val="16"/>
          <w:highlight w:val="yellow"/>
        </w:rPr>
      </w:pPr>
    </w:p>
    <w:p w14:paraId="58B30BD5" w14:textId="77777777" w:rsidR="004C3442" w:rsidRDefault="004C3442" w:rsidP="004C3442">
      <w:pPr>
        <w:tabs>
          <w:tab w:val="left" w:pos="1440"/>
          <w:tab w:val="left" w:pos="7425"/>
          <w:tab w:val="left" w:pos="8265"/>
        </w:tabs>
        <w:rPr>
          <w:b/>
          <w:bCs/>
          <w:iCs/>
        </w:rPr>
      </w:pPr>
      <w:r>
        <w:rPr>
          <w:b/>
          <w:bCs/>
          <w:iCs/>
        </w:rPr>
        <w:t>St. Louis Park City Code section 3-57. Types of licenses.</w:t>
      </w:r>
    </w:p>
    <w:p w14:paraId="67D9BDEC" w14:textId="77777777" w:rsidR="004C3442" w:rsidRDefault="004C3442" w:rsidP="004C3442">
      <w:pPr>
        <w:tabs>
          <w:tab w:val="left" w:pos="1440"/>
          <w:tab w:val="left" w:pos="7425"/>
          <w:tab w:val="left" w:pos="8265"/>
        </w:tabs>
        <w:rPr>
          <w:b/>
          <w:bCs/>
          <w:iCs/>
          <w:sz w:val="16"/>
          <w:szCs w:val="14"/>
        </w:rPr>
      </w:pPr>
    </w:p>
    <w:p w14:paraId="2757F4E1" w14:textId="77777777" w:rsidR="004C3442" w:rsidRDefault="004C3442" w:rsidP="004C3442">
      <w:pPr>
        <w:tabs>
          <w:tab w:val="left" w:pos="1440"/>
          <w:tab w:val="left" w:pos="7425"/>
          <w:tab w:val="left" w:pos="8265"/>
        </w:tabs>
        <w:rPr>
          <w:u w:val="single"/>
        </w:rPr>
      </w:pPr>
      <w:r>
        <w:rPr>
          <w:iCs/>
        </w:rPr>
        <w:t xml:space="preserve">m. </w:t>
      </w:r>
      <w:r>
        <w:rPr>
          <w:i/>
        </w:rPr>
        <w:t xml:space="preserve">Brewer taproom license. </w:t>
      </w:r>
      <w:r>
        <w:t>Brewer taproom licenses may be issued to the holder of a brewer’s license under Minn. Stat. § 340A.301, subd. 6(c), (</w:t>
      </w:r>
      <w:proofErr w:type="spellStart"/>
      <w:r>
        <w:t>i</w:t>
      </w:r>
      <w:proofErr w:type="spellEnd"/>
      <w:r>
        <w:t>) or (j) as it may amended from time to time and subject to the conditions of this chapter. A brewer’s taproom license authorizes the sale of malt liquor produced by the brewer for consumption on the premises of or adjacent to one brewery location owned by the brewer. A brewer may have only one taproom license and may not have an ownership interest in a brewer licensed under Minn. Stat. § 340A.301, subd. 6(d) as it may be amended from time to time. A brewer taproom license may not be issued to a brewer that brews more than 250,000 barrels of malt liquor annually or a winery that produces more than 250,000 gallons of wine annually. Within ten days of issuing a brewer taproom license the city clerk will inform the Commissioner of Public Safety of the licensee’s name, address, trade name and the effective date and expiration date of the license. The city clerk will inform the Commissioner of Public Safety of a license transfer, cancellation, suspension, or revocation during the license period.</w:t>
      </w:r>
    </w:p>
    <w:p w14:paraId="745A3606" w14:textId="77777777" w:rsidR="004C3442" w:rsidRDefault="004C3442" w:rsidP="004C3442">
      <w:pPr>
        <w:tabs>
          <w:tab w:val="left" w:pos="1440"/>
          <w:tab w:val="left" w:pos="7425"/>
          <w:tab w:val="left" w:pos="8265"/>
        </w:tabs>
        <w:rPr>
          <w:sz w:val="16"/>
          <w:szCs w:val="14"/>
        </w:rPr>
      </w:pPr>
    </w:p>
    <w:p w14:paraId="43D77FA9" w14:textId="77777777" w:rsidR="004C3442" w:rsidRDefault="004C3442" w:rsidP="004C3442">
      <w:pPr>
        <w:pStyle w:val="ListParagraph"/>
        <w:numPr>
          <w:ilvl w:val="0"/>
          <w:numId w:val="1"/>
        </w:numPr>
        <w:tabs>
          <w:tab w:val="left" w:pos="1440"/>
          <w:tab w:val="left" w:pos="7425"/>
          <w:tab w:val="left" w:pos="8265"/>
        </w:tabs>
        <w:rPr>
          <w:strike/>
        </w:rPr>
      </w:pPr>
      <w:r>
        <w:rPr>
          <w:strike/>
        </w:rPr>
        <w:t xml:space="preserve">A restaurant is not allowed at a brewery with a taproom license. </w:t>
      </w:r>
    </w:p>
    <w:p w14:paraId="3D495D6C" w14:textId="77777777" w:rsidR="004C3442" w:rsidRDefault="004C3442" w:rsidP="004C3442">
      <w:pPr>
        <w:pStyle w:val="ListParagraph"/>
        <w:numPr>
          <w:ilvl w:val="0"/>
          <w:numId w:val="1"/>
        </w:numPr>
        <w:tabs>
          <w:tab w:val="left" w:pos="1440"/>
          <w:tab w:val="left" w:pos="7425"/>
          <w:tab w:val="left" w:pos="8265"/>
        </w:tabs>
        <w:rPr>
          <w:strike/>
        </w:rPr>
      </w:pPr>
      <w:r>
        <w:rPr>
          <w:u w:val="single"/>
        </w:rPr>
        <w:t>(</w:t>
      </w:r>
      <w:proofErr w:type="spellStart"/>
      <w:r>
        <w:rPr>
          <w:u w:val="single"/>
        </w:rPr>
        <w:t>i</w:t>
      </w:r>
      <w:proofErr w:type="spellEnd"/>
      <w:r>
        <w:rPr>
          <w:u w:val="single"/>
        </w:rPr>
        <w:t>)</w:t>
      </w:r>
      <w:r>
        <w:t xml:space="preserve"> On-sale of liquor shall be limited to the legal hours for on sale pursuant to Section 3-105. </w:t>
      </w:r>
    </w:p>
    <w:p w14:paraId="4291C8B5" w14:textId="77777777" w:rsidR="004C3442" w:rsidRDefault="004C3442" w:rsidP="004C3442">
      <w:pPr>
        <w:tabs>
          <w:tab w:val="left" w:pos="1440"/>
          <w:tab w:val="left" w:pos="7425"/>
          <w:tab w:val="left" w:pos="8265"/>
        </w:tabs>
        <w:rPr>
          <w:strike/>
        </w:rPr>
      </w:pPr>
      <w:r>
        <w:t xml:space="preserve">o. </w:t>
      </w:r>
      <w:r>
        <w:rPr>
          <w:i/>
          <w:iCs/>
        </w:rPr>
        <w:t>Micro distillery cocktail room license</w:t>
      </w:r>
      <w:r>
        <w:rPr>
          <w:i/>
        </w:rPr>
        <w:t xml:space="preserve">. </w:t>
      </w:r>
      <w:r>
        <w:t>A micro distillery cocktail room license may be issued to the holder of a micro distillery license issued under Minn. Stat. § 340A.22. A micro distillery cocktail room license authorizes the on-sale of distilled liquor produced by the distiller for consumption on the premises of or adjacent to one distillery location owned by the distiller subject to the following requirements:</w:t>
      </w:r>
    </w:p>
    <w:p w14:paraId="6DCDA4BD" w14:textId="77777777" w:rsidR="004C3442" w:rsidRDefault="004C3442" w:rsidP="004C3442">
      <w:pPr>
        <w:tabs>
          <w:tab w:val="left" w:pos="1440"/>
          <w:tab w:val="left" w:pos="7425"/>
          <w:tab w:val="left" w:pos="8265"/>
        </w:tabs>
        <w:rPr>
          <w:sz w:val="16"/>
          <w:szCs w:val="14"/>
        </w:rPr>
      </w:pPr>
    </w:p>
    <w:p w14:paraId="0535D076" w14:textId="77777777" w:rsidR="004C3442" w:rsidRDefault="004C3442" w:rsidP="004C3442">
      <w:pPr>
        <w:pStyle w:val="ListParagraph"/>
        <w:numPr>
          <w:ilvl w:val="0"/>
          <w:numId w:val="2"/>
        </w:numPr>
        <w:tabs>
          <w:tab w:val="left" w:pos="1440"/>
          <w:tab w:val="left" w:pos="7425"/>
          <w:tab w:val="left" w:pos="8265"/>
        </w:tabs>
      </w:pPr>
      <w:r>
        <w:t>The city shall, within ten days of the issuance of a micro distillery cocktail room license inform the Commissioner of Public Safety of the licensee’s name and address and trade name, and the effective date and expiration date of the license. The city shall also inform the commissioner of a license transfer, cancellation, suspension, or revocation during the license period.</w:t>
      </w:r>
    </w:p>
    <w:p w14:paraId="7C8B049F" w14:textId="77777777" w:rsidR="004C3442" w:rsidRDefault="004C3442" w:rsidP="004C3442">
      <w:pPr>
        <w:tabs>
          <w:tab w:val="left" w:pos="1440"/>
          <w:tab w:val="left" w:pos="7425"/>
          <w:tab w:val="left" w:pos="8265"/>
        </w:tabs>
        <w:rPr>
          <w:sz w:val="6"/>
          <w:szCs w:val="4"/>
        </w:rPr>
      </w:pPr>
    </w:p>
    <w:p w14:paraId="7C3D4C15" w14:textId="77777777" w:rsidR="004C3442" w:rsidRDefault="004C3442" w:rsidP="004C3442">
      <w:pPr>
        <w:pStyle w:val="ListParagraph"/>
        <w:numPr>
          <w:ilvl w:val="0"/>
          <w:numId w:val="2"/>
        </w:numPr>
        <w:tabs>
          <w:tab w:val="left" w:pos="1440"/>
          <w:tab w:val="left" w:pos="7425"/>
          <w:tab w:val="left" w:pos="8265"/>
        </w:tabs>
      </w:pPr>
      <w:r>
        <w:t xml:space="preserve">No single entity may hold both a micro distillery cocktail room and taproom license, and a cocktail room and taproom may not be co-located. </w:t>
      </w:r>
    </w:p>
    <w:p w14:paraId="569CB970" w14:textId="77777777" w:rsidR="004C3442" w:rsidRDefault="004C3442" w:rsidP="004C3442">
      <w:pPr>
        <w:tabs>
          <w:tab w:val="left" w:pos="1440"/>
          <w:tab w:val="left" w:pos="7425"/>
          <w:tab w:val="left" w:pos="8265"/>
        </w:tabs>
        <w:rPr>
          <w:sz w:val="6"/>
          <w:szCs w:val="4"/>
        </w:rPr>
      </w:pPr>
    </w:p>
    <w:p w14:paraId="5582E89C" w14:textId="77777777" w:rsidR="004C3442" w:rsidRDefault="004C3442" w:rsidP="004C3442">
      <w:pPr>
        <w:pStyle w:val="ListParagraph"/>
        <w:numPr>
          <w:ilvl w:val="0"/>
          <w:numId w:val="2"/>
        </w:numPr>
        <w:tabs>
          <w:tab w:val="left" w:pos="1440"/>
          <w:tab w:val="left" w:pos="7425"/>
          <w:tab w:val="left" w:pos="8265"/>
        </w:tabs>
        <w:rPr>
          <w:strike/>
        </w:rPr>
      </w:pPr>
      <w:r>
        <w:rPr>
          <w:strike/>
        </w:rPr>
        <w:t>A restaurant is not allowed at a micro distillery with a cocktail room license.</w:t>
      </w:r>
    </w:p>
    <w:p w14:paraId="3A1DBFF1" w14:textId="07696367" w:rsidR="004C3442" w:rsidRPr="004C3442" w:rsidRDefault="004C3442" w:rsidP="004C3442">
      <w:pPr>
        <w:pStyle w:val="ListParagraph"/>
        <w:numPr>
          <w:ilvl w:val="0"/>
          <w:numId w:val="2"/>
        </w:numPr>
        <w:tabs>
          <w:tab w:val="left" w:pos="1440"/>
          <w:tab w:val="left" w:pos="7425"/>
          <w:tab w:val="left" w:pos="8265"/>
        </w:tabs>
        <w:rPr>
          <w:strike/>
        </w:rPr>
      </w:pPr>
      <w:r>
        <w:rPr>
          <w:u w:val="single"/>
        </w:rPr>
        <w:t>(iii)</w:t>
      </w:r>
      <w:r>
        <w:t xml:space="preserve"> On-sale of liquor shall be limited to the legal hours for on-sale pursuant to Section 3-105.</w:t>
      </w:r>
    </w:p>
    <w:p w14:paraId="22595778" w14:textId="77777777" w:rsidR="004C3442" w:rsidRDefault="004C3442" w:rsidP="004C3442">
      <w:pPr>
        <w:tabs>
          <w:tab w:val="left" w:pos="1080"/>
          <w:tab w:val="left" w:pos="7425"/>
          <w:tab w:val="left" w:pos="8265"/>
        </w:tabs>
        <w:rPr>
          <w:b/>
          <w:bCs/>
          <w:iCs/>
        </w:rPr>
      </w:pPr>
      <w:r>
        <w:rPr>
          <w:b/>
          <w:bCs/>
          <w:iCs/>
        </w:rPr>
        <w:lastRenderedPageBreak/>
        <w:t>St. Louis Park City Code Section 3-70. Ineligibility.</w:t>
      </w:r>
    </w:p>
    <w:p w14:paraId="1F8B2962" w14:textId="77777777" w:rsidR="004C3442" w:rsidRPr="004C3442" w:rsidRDefault="004C3442" w:rsidP="004C3442">
      <w:pPr>
        <w:tabs>
          <w:tab w:val="left" w:pos="1080"/>
          <w:tab w:val="left" w:pos="7425"/>
          <w:tab w:val="left" w:pos="8265"/>
        </w:tabs>
        <w:rPr>
          <w:b/>
          <w:bCs/>
          <w:iCs/>
          <w:sz w:val="10"/>
          <w:szCs w:val="8"/>
        </w:rPr>
      </w:pPr>
    </w:p>
    <w:p w14:paraId="587D650B" w14:textId="77777777" w:rsidR="004C3442" w:rsidRDefault="004C3442" w:rsidP="004C3442">
      <w:pPr>
        <w:pStyle w:val="CodeBookABC"/>
        <w:numPr>
          <w:ilvl w:val="0"/>
          <w:numId w:val="3"/>
        </w:numPr>
        <w:tabs>
          <w:tab w:val="left" w:pos="270"/>
        </w:tabs>
        <w:spacing w:after="0"/>
        <w:ind w:left="270" w:hanging="270"/>
        <w:rPr>
          <w:rFonts w:asciiTheme="minorHAnsi" w:hAnsiTheme="minorHAnsi" w:cstheme="minorHAnsi"/>
          <w:sz w:val="24"/>
          <w:szCs w:val="24"/>
        </w:rPr>
      </w:pPr>
      <w:r>
        <w:rPr>
          <w:rFonts w:asciiTheme="minorHAnsi" w:hAnsiTheme="minorHAnsi" w:cstheme="minorHAnsi"/>
          <w:sz w:val="24"/>
          <w:szCs w:val="24"/>
        </w:rPr>
        <w:t xml:space="preserve">No on-sale intoxicating liquor license, except a club license for a congressionally chartered veterans’ organization, shall be issued unless at least </w:t>
      </w:r>
      <w:r>
        <w:rPr>
          <w:rFonts w:asciiTheme="minorHAnsi" w:hAnsiTheme="minorHAnsi" w:cstheme="minorHAnsi"/>
          <w:strike/>
          <w:sz w:val="24"/>
          <w:szCs w:val="24"/>
        </w:rPr>
        <w:t>50</w:t>
      </w:r>
      <w:r>
        <w:rPr>
          <w:rFonts w:asciiTheme="minorHAnsi" w:hAnsiTheme="minorHAnsi" w:cstheme="minorHAnsi"/>
          <w:sz w:val="24"/>
          <w:szCs w:val="24"/>
        </w:rPr>
        <w:t xml:space="preserve"> </w:t>
      </w:r>
      <w:r>
        <w:rPr>
          <w:rFonts w:asciiTheme="minorHAnsi" w:hAnsiTheme="minorHAnsi" w:cstheme="minorHAnsi"/>
          <w:sz w:val="24"/>
          <w:szCs w:val="24"/>
          <w:u w:val="single"/>
        </w:rPr>
        <w:t>40</w:t>
      </w:r>
      <w:r>
        <w:rPr>
          <w:rFonts w:asciiTheme="minorHAnsi" w:hAnsiTheme="minorHAnsi" w:cstheme="minorHAnsi"/>
          <w:sz w:val="24"/>
          <w:szCs w:val="24"/>
        </w:rPr>
        <w:t xml:space="preserve"> percent of the gross receipts of the establishment will be attributable to the sale of food. This requirement shall be regulated as follows:</w:t>
      </w:r>
    </w:p>
    <w:p w14:paraId="1D037B87" w14:textId="77777777" w:rsidR="004C3442" w:rsidRPr="004C3442" w:rsidRDefault="004C3442" w:rsidP="004C3442">
      <w:pPr>
        <w:pStyle w:val="CodeBookABC"/>
        <w:tabs>
          <w:tab w:val="left" w:pos="270"/>
        </w:tabs>
        <w:spacing w:after="0"/>
        <w:ind w:left="270" w:firstLine="0"/>
        <w:rPr>
          <w:rFonts w:asciiTheme="minorHAnsi" w:hAnsiTheme="minorHAnsi" w:cstheme="minorHAnsi"/>
          <w:sz w:val="8"/>
          <w:szCs w:val="8"/>
        </w:rPr>
      </w:pPr>
    </w:p>
    <w:p w14:paraId="5D9A37A7" w14:textId="77777777" w:rsidR="004C3442" w:rsidRDefault="004C3442" w:rsidP="004C3442">
      <w:pPr>
        <w:pStyle w:val="CodeBookABC"/>
        <w:spacing w:after="0"/>
        <w:rPr>
          <w:rFonts w:asciiTheme="minorHAnsi" w:hAnsiTheme="minorHAnsi" w:cstheme="minorHAnsi"/>
          <w:sz w:val="4"/>
          <w:szCs w:val="4"/>
        </w:rPr>
      </w:pPr>
    </w:p>
    <w:p w14:paraId="0055E7A6" w14:textId="77777777" w:rsidR="004C3442" w:rsidRDefault="004C3442" w:rsidP="004C3442">
      <w:pPr>
        <w:pStyle w:val="CodeBook123"/>
        <w:spacing w:after="0"/>
        <w:ind w:left="1080" w:hanging="720"/>
        <w:rPr>
          <w:rFonts w:asciiTheme="minorHAnsi" w:hAnsiTheme="minorHAnsi" w:cstheme="minorHAnsi"/>
          <w:sz w:val="24"/>
          <w:szCs w:val="24"/>
        </w:rPr>
      </w:pPr>
      <w:r>
        <w:rPr>
          <w:rFonts w:asciiTheme="minorHAnsi" w:hAnsiTheme="minorHAnsi" w:cstheme="minorHAnsi"/>
          <w:sz w:val="24"/>
          <w:szCs w:val="24"/>
        </w:rPr>
        <w:t>(</w:t>
      </w:r>
      <w:proofErr w:type="spellStart"/>
      <w:r>
        <w:rPr>
          <w:rFonts w:asciiTheme="minorHAnsi" w:hAnsiTheme="minorHAnsi" w:cstheme="minorHAnsi"/>
          <w:sz w:val="24"/>
          <w:szCs w:val="24"/>
        </w:rPr>
        <w:t>i</w:t>
      </w:r>
      <w:proofErr w:type="spellEnd"/>
      <w:r>
        <w:rPr>
          <w:rFonts w:asciiTheme="minorHAnsi" w:hAnsiTheme="minorHAnsi" w:cstheme="minorHAnsi"/>
          <w:sz w:val="24"/>
          <w:szCs w:val="24"/>
        </w:rPr>
        <w:t>)</w:t>
      </w:r>
      <w:r>
        <w:rPr>
          <w:rFonts w:asciiTheme="minorHAnsi" w:hAnsiTheme="minorHAnsi" w:cstheme="minorHAnsi"/>
          <w:sz w:val="24"/>
          <w:szCs w:val="24"/>
        </w:rPr>
        <w:tab/>
        <w:t xml:space="preserve">Each on-sale intoxicating liquor license, except a club license for a congressionally chartered veterans’ organization, shall have the continuing obligation to have at least </w:t>
      </w:r>
      <w:r>
        <w:rPr>
          <w:rFonts w:asciiTheme="minorHAnsi" w:hAnsiTheme="minorHAnsi" w:cstheme="minorHAnsi"/>
          <w:strike/>
          <w:sz w:val="24"/>
          <w:szCs w:val="24"/>
        </w:rPr>
        <w:t>50</w:t>
      </w:r>
      <w:r>
        <w:rPr>
          <w:rFonts w:asciiTheme="minorHAnsi" w:hAnsiTheme="minorHAnsi" w:cstheme="minorHAnsi"/>
          <w:sz w:val="24"/>
          <w:szCs w:val="24"/>
        </w:rPr>
        <w:t xml:space="preserve"> </w:t>
      </w:r>
      <w:r>
        <w:rPr>
          <w:rFonts w:asciiTheme="minorHAnsi" w:hAnsiTheme="minorHAnsi" w:cstheme="minorHAnsi"/>
          <w:sz w:val="24"/>
          <w:szCs w:val="24"/>
          <w:u w:val="single"/>
        </w:rPr>
        <w:t>40</w:t>
      </w:r>
      <w:r w:rsidRPr="004C3442">
        <w:rPr>
          <w:rFonts w:asciiTheme="minorHAnsi" w:hAnsiTheme="minorHAnsi" w:cstheme="minorHAnsi"/>
          <w:sz w:val="24"/>
          <w:szCs w:val="24"/>
        </w:rPr>
        <w:t xml:space="preserve"> </w:t>
      </w:r>
      <w:r>
        <w:rPr>
          <w:rFonts w:asciiTheme="minorHAnsi" w:hAnsiTheme="minorHAnsi" w:cstheme="minorHAnsi"/>
          <w:sz w:val="24"/>
          <w:szCs w:val="24"/>
        </w:rPr>
        <w:t>percent of gross receipts from the establishment during the preceding business year attributable to the sale of food.</w:t>
      </w:r>
    </w:p>
    <w:p w14:paraId="7AA486F2" w14:textId="77777777" w:rsidR="004C3442" w:rsidRPr="004C3442" w:rsidRDefault="004C3442" w:rsidP="004C3442">
      <w:pPr>
        <w:pStyle w:val="CodeBook123"/>
        <w:spacing w:after="0"/>
        <w:ind w:left="1080" w:hanging="720"/>
        <w:rPr>
          <w:rFonts w:asciiTheme="minorHAnsi" w:hAnsiTheme="minorHAnsi" w:cstheme="minorHAnsi"/>
          <w:sz w:val="10"/>
          <w:szCs w:val="10"/>
        </w:rPr>
      </w:pPr>
    </w:p>
    <w:p w14:paraId="14D9E23C" w14:textId="77777777" w:rsidR="004C3442" w:rsidRDefault="004C3442" w:rsidP="004C3442">
      <w:pPr>
        <w:pStyle w:val="CodeBook123"/>
        <w:tabs>
          <w:tab w:val="clear" w:pos="360"/>
          <w:tab w:val="left" w:pos="1440"/>
        </w:tabs>
        <w:spacing w:after="0"/>
        <w:ind w:left="1080" w:hanging="720"/>
        <w:rPr>
          <w:rFonts w:asciiTheme="minorHAnsi" w:hAnsiTheme="minorHAnsi" w:cstheme="minorHAnsi"/>
          <w:sz w:val="24"/>
          <w:szCs w:val="24"/>
        </w:rPr>
      </w:pPr>
      <w:r>
        <w:rPr>
          <w:rFonts w:asciiTheme="minorHAnsi" w:hAnsiTheme="minorHAnsi" w:cstheme="minorHAnsi"/>
          <w:sz w:val="24"/>
          <w:szCs w:val="24"/>
        </w:rPr>
        <w:t>(ii)</w:t>
      </w:r>
      <w:r>
        <w:rPr>
          <w:rFonts w:asciiTheme="minorHAnsi" w:hAnsiTheme="minorHAnsi" w:cstheme="minorHAnsi"/>
          <w:sz w:val="24"/>
          <w:szCs w:val="24"/>
        </w:rPr>
        <w:tab/>
        <w:t xml:space="preserve">In the case of a new restaurant, the applicant must make a bona fide estimation that at least </w:t>
      </w:r>
      <w:r>
        <w:rPr>
          <w:rFonts w:asciiTheme="minorHAnsi" w:hAnsiTheme="minorHAnsi" w:cstheme="minorHAnsi"/>
          <w:strike/>
          <w:sz w:val="24"/>
          <w:szCs w:val="24"/>
        </w:rPr>
        <w:t>50</w:t>
      </w:r>
      <w:r>
        <w:rPr>
          <w:rFonts w:asciiTheme="minorHAnsi" w:hAnsiTheme="minorHAnsi" w:cstheme="minorHAnsi"/>
          <w:sz w:val="24"/>
          <w:szCs w:val="24"/>
        </w:rPr>
        <w:t xml:space="preserve"> </w:t>
      </w:r>
      <w:r>
        <w:rPr>
          <w:rFonts w:asciiTheme="minorHAnsi" w:hAnsiTheme="minorHAnsi" w:cstheme="minorHAnsi"/>
          <w:sz w:val="24"/>
          <w:szCs w:val="24"/>
          <w:u w:val="single"/>
        </w:rPr>
        <w:t>40</w:t>
      </w:r>
      <w:r w:rsidRPr="004C3442">
        <w:rPr>
          <w:rFonts w:asciiTheme="minorHAnsi" w:hAnsiTheme="minorHAnsi" w:cstheme="minorHAnsi"/>
          <w:sz w:val="24"/>
          <w:szCs w:val="24"/>
        </w:rPr>
        <w:t xml:space="preserve"> </w:t>
      </w:r>
      <w:r>
        <w:rPr>
          <w:rFonts w:asciiTheme="minorHAnsi" w:hAnsiTheme="minorHAnsi" w:cstheme="minorHAnsi"/>
          <w:sz w:val="24"/>
          <w:szCs w:val="24"/>
        </w:rPr>
        <w:t>percent of the gross receipts from the sale of food and beverages of the establishment during its first year of business will be attributable to the sale of food.</w:t>
      </w:r>
    </w:p>
    <w:p w14:paraId="05C8E474" w14:textId="77777777" w:rsidR="004C3442" w:rsidRPr="004C3442" w:rsidRDefault="004C3442" w:rsidP="004C3442">
      <w:pPr>
        <w:pStyle w:val="CodeBook123"/>
        <w:tabs>
          <w:tab w:val="left" w:pos="1440"/>
        </w:tabs>
        <w:spacing w:after="0"/>
        <w:ind w:left="1080" w:hanging="720"/>
        <w:rPr>
          <w:rFonts w:asciiTheme="minorHAnsi" w:hAnsiTheme="minorHAnsi" w:cstheme="minorHAnsi"/>
          <w:sz w:val="10"/>
          <w:szCs w:val="10"/>
        </w:rPr>
      </w:pPr>
    </w:p>
    <w:p w14:paraId="06F0E2A7" w14:textId="77777777" w:rsidR="004C3442" w:rsidRDefault="004C3442" w:rsidP="004C3442">
      <w:pPr>
        <w:pStyle w:val="CodeBook123"/>
        <w:tabs>
          <w:tab w:val="left" w:pos="1440"/>
        </w:tabs>
        <w:spacing w:after="0"/>
        <w:ind w:left="1080" w:hanging="720"/>
        <w:rPr>
          <w:rFonts w:asciiTheme="minorHAnsi" w:hAnsiTheme="minorHAnsi" w:cstheme="minorHAnsi"/>
          <w:sz w:val="24"/>
          <w:szCs w:val="24"/>
        </w:rPr>
      </w:pPr>
      <w:r>
        <w:rPr>
          <w:rFonts w:asciiTheme="minorHAnsi" w:hAnsiTheme="minorHAnsi" w:cstheme="minorHAnsi"/>
          <w:sz w:val="24"/>
          <w:szCs w:val="24"/>
        </w:rPr>
        <w:t>(iii)</w:t>
      </w:r>
      <w:r>
        <w:rPr>
          <w:rFonts w:asciiTheme="minorHAnsi" w:hAnsiTheme="minorHAnsi" w:cstheme="minorHAnsi"/>
          <w:sz w:val="24"/>
          <w:szCs w:val="24"/>
        </w:rPr>
        <w:tab/>
        <w:t>For the purpose of this section, the term "establishment" shall include the food and beverage portion of a multiservice establishment. Financial records for the food and beverage portion must be maintained separately from the records of the remainder of the establishment.</w:t>
      </w:r>
    </w:p>
    <w:p w14:paraId="6233D019" w14:textId="77777777" w:rsidR="004C3442" w:rsidRPr="004C3442" w:rsidRDefault="004C3442" w:rsidP="004C3442">
      <w:pPr>
        <w:pStyle w:val="CodeBook123"/>
        <w:tabs>
          <w:tab w:val="left" w:pos="1440"/>
        </w:tabs>
        <w:spacing w:after="0"/>
        <w:ind w:left="1080" w:hanging="720"/>
        <w:rPr>
          <w:rFonts w:asciiTheme="minorHAnsi" w:hAnsiTheme="minorHAnsi" w:cstheme="minorHAnsi"/>
          <w:sz w:val="8"/>
          <w:szCs w:val="8"/>
        </w:rPr>
      </w:pPr>
    </w:p>
    <w:p w14:paraId="78C32818" w14:textId="526D5FA5" w:rsidR="004C3442" w:rsidRDefault="004C3442" w:rsidP="004C3442">
      <w:pPr>
        <w:pStyle w:val="CodeBook123"/>
        <w:tabs>
          <w:tab w:val="left" w:pos="1440"/>
        </w:tabs>
        <w:spacing w:after="0"/>
        <w:ind w:left="1080" w:hanging="720"/>
        <w:rPr>
          <w:rFonts w:asciiTheme="minorHAnsi" w:hAnsiTheme="minorHAnsi" w:cstheme="minorHAnsi"/>
          <w:sz w:val="24"/>
          <w:szCs w:val="24"/>
        </w:rPr>
      </w:pPr>
      <w:r>
        <w:rPr>
          <w:rFonts w:asciiTheme="minorHAnsi" w:hAnsiTheme="minorHAnsi" w:cstheme="minorHAnsi"/>
          <w:sz w:val="24"/>
          <w:szCs w:val="24"/>
        </w:rPr>
        <w:t>(i</w:t>
      </w:r>
      <w:r>
        <w:rPr>
          <w:rFonts w:asciiTheme="minorHAnsi" w:hAnsiTheme="minorHAnsi" w:cstheme="minorHAnsi"/>
          <w:sz w:val="24"/>
          <w:szCs w:val="24"/>
        </w:rPr>
        <w:t>v</w:t>
      </w:r>
      <w:r>
        <w:rPr>
          <w:rFonts w:asciiTheme="minorHAnsi" w:hAnsiTheme="minorHAnsi" w:cstheme="minorHAnsi"/>
          <w:sz w:val="24"/>
          <w:szCs w:val="24"/>
        </w:rPr>
        <w:t>)</w:t>
      </w:r>
      <w:r>
        <w:rPr>
          <w:rFonts w:asciiTheme="minorHAnsi" w:hAnsiTheme="minorHAnsi" w:cstheme="minorHAnsi"/>
          <w:sz w:val="24"/>
          <w:szCs w:val="24"/>
        </w:rPr>
        <w:tab/>
        <w:t>For the purpose of this section, the term "sale of food" shall include gross receipts attributable to the sale of food items, soft drinks, and nonalcoholic beverages. It shall not include any portion of gross receipts attributable to the nonalcoholic components of plain or mixed alcoholic beverages, such as ice, soft drink mixes or other mixes.</w:t>
      </w:r>
    </w:p>
    <w:p w14:paraId="71E618D3" w14:textId="77777777" w:rsidR="004C3442" w:rsidRPr="004C3442" w:rsidRDefault="004C3442" w:rsidP="004C3442">
      <w:pPr>
        <w:pStyle w:val="CodeBook123"/>
        <w:spacing w:after="0"/>
        <w:ind w:left="1080" w:hanging="720"/>
        <w:rPr>
          <w:rFonts w:asciiTheme="minorHAnsi" w:hAnsiTheme="minorHAnsi" w:cstheme="minorHAnsi"/>
          <w:sz w:val="10"/>
          <w:szCs w:val="10"/>
        </w:rPr>
      </w:pPr>
    </w:p>
    <w:p w14:paraId="23535D73" w14:textId="48FB2577" w:rsidR="004C3442" w:rsidRDefault="004C3442" w:rsidP="004C3442">
      <w:pPr>
        <w:pStyle w:val="CodeBook123"/>
        <w:spacing w:after="0"/>
        <w:ind w:left="1080" w:hanging="720"/>
        <w:rPr>
          <w:rFonts w:asciiTheme="minorHAnsi" w:hAnsiTheme="minorHAnsi" w:cstheme="minorHAnsi"/>
          <w:sz w:val="24"/>
          <w:szCs w:val="24"/>
        </w:rPr>
      </w:pPr>
      <w:r>
        <w:rPr>
          <w:rFonts w:asciiTheme="minorHAnsi" w:hAnsiTheme="minorHAnsi" w:cstheme="minorHAnsi"/>
          <w:sz w:val="24"/>
          <w:szCs w:val="24"/>
        </w:rPr>
        <w:t>(v)</w:t>
      </w:r>
      <w:r>
        <w:rPr>
          <w:rFonts w:asciiTheme="minorHAnsi" w:hAnsiTheme="minorHAnsi" w:cstheme="minorHAnsi"/>
          <w:sz w:val="24"/>
          <w:szCs w:val="24"/>
        </w:rPr>
        <w:tab/>
        <w:t>The city may require the production of such documents or information, including, but not limited to, books, records, audited financial statements or pro forma financial statements as it deems necessary or convenient to enforce the provisions of this section. The city may also obtain its own audit or review of such documents or information, and all licensees shall cooperate with such a review, including prompt production of requested records.</w:t>
      </w:r>
    </w:p>
    <w:p w14:paraId="5034D5ED" w14:textId="77777777" w:rsidR="004C3442" w:rsidRPr="004C3442" w:rsidRDefault="004C3442" w:rsidP="004C3442">
      <w:pPr>
        <w:pStyle w:val="CodeBook123"/>
        <w:spacing w:after="0"/>
        <w:ind w:left="1080" w:hanging="720"/>
        <w:rPr>
          <w:rFonts w:asciiTheme="minorHAnsi" w:hAnsiTheme="minorHAnsi" w:cstheme="minorHAnsi"/>
          <w:sz w:val="10"/>
          <w:szCs w:val="10"/>
        </w:rPr>
      </w:pPr>
    </w:p>
    <w:p w14:paraId="15FFB413" w14:textId="65D92EFA" w:rsidR="004C3442" w:rsidRDefault="004C3442" w:rsidP="004C3442">
      <w:pPr>
        <w:pStyle w:val="CodeBook123"/>
        <w:spacing w:after="0"/>
        <w:ind w:left="1080" w:hanging="720"/>
        <w:rPr>
          <w:rFonts w:asciiTheme="minorHAnsi" w:hAnsiTheme="minorHAnsi" w:cstheme="minorHAnsi"/>
          <w:sz w:val="24"/>
          <w:szCs w:val="24"/>
        </w:rPr>
      </w:pPr>
      <w:r>
        <w:rPr>
          <w:rFonts w:asciiTheme="minorHAnsi" w:hAnsiTheme="minorHAnsi" w:cstheme="minorHAnsi"/>
          <w:sz w:val="24"/>
          <w:szCs w:val="24"/>
        </w:rPr>
        <w:t>(v</w:t>
      </w:r>
      <w:r>
        <w:rPr>
          <w:rFonts w:asciiTheme="minorHAnsi" w:hAnsiTheme="minorHAnsi" w:cstheme="minorHAnsi"/>
          <w:sz w:val="24"/>
          <w:szCs w:val="24"/>
        </w:rPr>
        <w:t>i</w:t>
      </w:r>
      <w:r>
        <w:rPr>
          <w:rFonts w:asciiTheme="minorHAnsi" w:hAnsiTheme="minorHAnsi" w:cstheme="minorHAnsi"/>
          <w:sz w:val="24"/>
          <w:szCs w:val="24"/>
        </w:rPr>
        <w:t>)</w:t>
      </w:r>
      <w:r>
        <w:rPr>
          <w:rFonts w:asciiTheme="minorHAnsi" w:hAnsiTheme="minorHAnsi" w:cstheme="minorHAnsi"/>
          <w:sz w:val="24"/>
          <w:szCs w:val="24"/>
        </w:rPr>
        <w:tab/>
        <w:t xml:space="preserve">In addition to other remedies that it may have available, the city may place the license of any on-sale intoxicating liquor license holder on probationary status for up to one year, when the sale of food is reported, or found to be, less than </w:t>
      </w:r>
      <w:r>
        <w:rPr>
          <w:rFonts w:asciiTheme="minorHAnsi" w:hAnsiTheme="minorHAnsi" w:cstheme="minorHAnsi"/>
          <w:strike/>
          <w:sz w:val="24"/>
          <w:szCs w:val="24"/>
        </w:rPr>
        <w:t>50</w:t>
      </w:r>
      <w:r>
        <w:rPr>
          <w:rFonts w:asciiTheme="minorHAnsi" w:hAnsiTheme="minorHAnsi" w:cstheme="minorHAnsi"/>
          <w:sz w:val="24"/>
          <w:szCs w:val="24"/>
        </w:rPr>
        <w:t xml:space="preserve"> </w:t>
      </w:r>
      <w:r>
        <w:rPr>
          <w:rFonts w:asciiTheme="minorHAnsi" w:hAnsiTheme="minorHAnsi" w:cstheme="minorHAnsi"/>
          <w:sz w:val="24"/>
          <w:szCs w:val="24"/>
          <w:u w:val="single"/>
        </w:rPr>
        <w:t>40</w:t>
      </w:r>
      <w:r>
        <w:rPr>
          <w:rFonts w:asciiTheme="minorHAnsi" w:hAnsiTheme="minorHAnsi" w:cstheme="minorHAnsi"/>
          <w:sz w:val="24"/>
          <w:szCs w:val="24"/>
        </w:rPr>
        <w:t xml:space="preserve"> percent of gross receipts for any business year. During the probationary period, the licensee shall prepare any plans and reports, participate in any required meetings, and take other actions that the city may require to increase the sale of food.</w:t>
      </w:r>
    </w:p>
    <w:p w14:paraId="0DAC019D" w14:textId="77777777" w:rsidR="004C3442" w:rsidRPr="004C3442" w:rsidRDefault="004C3442" w:rsidP="004C3442">
      <w:pPr>
        <w:jc w:val="both"/>
        <w:rPr>
          <w:sz w:val="10"/>
          <w:szCs w:val="10"/>
          <w:highlight w:val="yellow"/>
        </w:rPr>
      </w:pPr>
    </w:p>
    <w:p w14:paraId="1AC6AD2B" w14:textId="77777777" w:rsidR="004C3442" w:rsidRDefault="004C3442" w:rsidP="004C3442">
      <w:pPr>
        <w:jc w:val="both"/>
        <w:rPr>
          <w:rFonts w:cs="Calibri"/>
          <w:szCs w:val="24"/>
        </w:rPr>
      </w:pPr>
      <w:r>
        <w:rPr>
          <w:rFonts w:cs="Calibri"/>
          <w:szCs w:val="24"/>
        </w:rPr>
        <w:t>Section 2.  This ordinance shall take effect fifteen days after its passage and publication.</w:t>
      </w:r>
    </w:p>
    <w:p w14:paraId="1A265540" w14:textId="77777777" w:rsidR="004C3442" w:rsidRPr="004C3442" w:rsidRDefault="004C3442" w:rsidP="004C3442">
      <w:pPr>
        <w:jc w:val="both"/>
        <w:rPr>
          <w:rFonts w:cs="Calibri"/>
          <w:sz w:val="8"/>
          <w:szCs w:val="8"/>
        </w:rPr>
      </w:pPr>
    </w:p>
    <w:p w14:paraId="52EE08E3" w14:textId="77777777" w:rsidR="004C3442" w:rsidRPr="004C3442" w:rsidRDefault="004C3442" w:rsidP="004C3442">
      <w:pPr>
        <w:rPr>
          <w:rFonts w:cs="Calibri"/>
          <w:sz w:val="4"/>
          <w:szCs w:val="4"/>
          <w:u w:val="single"/>
        </w:rPr>
      </w:pPr>
    </w:p>
    <w:tbl>
      <w:tblPr>
        <w:tblStyle w:val="TableGrid"/>
        <w:tblW w:w="0" w:type="auto"/>
        <w:tblInd w:w="1818" w:type="dxa"/>
        <w:tblLook w:val="04A0" w:firstRow="1" w:lastRow="0" w:firstColumn="1" w:lastColumn="0" w:noHBand="0" w:noVBand="1"/>
      </w:tblPr>
      <w:tblGrid>
        <w:gridCol w:w="1957"/>
        <w:gridCol w:w="3150"/>
      </w:tblGrid>
      <w:tr w:rsidR="004C3442" w14:paraId="58DED749" w14:textId="77777777" w:rsidTr="004C3442">
        <w:trPr>
          <w:trHeight w:hRule="exact" w:val="317"/>
        </w:trPr>
        <w:tc>
          <w:tcPr>
            <w:tcW w:w="1957" w:type="dxa"/>
            <w:tcBorders>
              <w:top w:val="single" w:sz="4" w:space="0" w:color="auto"/>
              <w:left w:val="single" w:sz="4" w:space="0" w:color="auto"/>
              <w:bottom w:val="single" w:sz="4" w:space="0" w:color="auto"/>
              <w:right w:val="single" w:sz="4" w:space="0" w:color="auto"/>
            </w:tcBorders>
            <w:hideMark/>
          </w:tcPr>
          <w:p w14:paraId="10D7C422" w14:textId="77777777" w:rsidR="004C3442" w:rsidRDefault="004C3442">
            <w:pPr>
              <w:tabs>
                <w:tab w:val="left" w:pos="720"/>
              </w:tabs>
              <w:spacing w:after="120"/>
              <w:ind w:right="162"/>
              <w:rPr>
                <w:rFonts w:cs="Calibri"/>
                <w:szCs w:val="24"/>
              </w:rPr>
            </w:pPr>
            <w:r>
              <w:rPr>
                <w:rFonts w:cs="Calibri"/>
                <w:szCs w:val="24"/>
              </w:rPr>
              <w:t>First Reading</w:t>
            </w:r>
          </w:p>
        </w:tc>
        <w:tc>
          <w:tcPr>
            <w:tcW w:w="3150" w:type="dxa"/>
            <w:tcBorders>
              <w:top w:val="single" w:sz="4" w:space="0" w:color="auto"/>
              <w:left w:val="single" w:sz="4" w:space="0" w:color="auto"/>
              <w:bottom w:val="single" w:sz="4" w:space="0" w:color="auto"/>
              <w:right w:val="single" w:sz="4" w:space="0" w:color="auto"/>
            </w:tcBorders>
            <w:hideMark/>
          </w:tcPr>
          <w:p w14:paraId="408C13C2" w14:textId="77777777" w:rsidR="004C3442" w:rsidRDefault="004C3442">
            <w:pPr>
              <w:tabs>
                <w:tab w:val="left" w:pos="720"/>
              </w:tabs>
              <w:spacing w:after="120"/>
              <w:rPr>
                <w:rFonts w:cs="Calibri"/>
                <w:szCs w:val="24"/>
              </w:rPr>
            </w:pPr>
            <w:r>
              <w:rPr>
                <w:rFonts w:cs="Calibri"/>
                <w:szCs w:val="24"/>
              </w:rPr>
              <w:t>January 16, 2024</w:t>
            </w:r>
          </w:p>
        </w:tc>
      </w:tr>
      <w:tr w:rsidR="004C3442" w14:paraId="4E2E3F14" w14:textId="77777777" w:rsidTr="004C3442">
        <w:trPr>
          <w:trHeight w:hRule="exact" w:val="317"/>
        </w:trPr>
        <w:tc>
          <w:tcPr>
            <w:tcW w:w="1957" w:type="dxa"/>
            <w:tcBorders>
              <w:top w:val="single" w:sz="4" w:space="0" w:color="auto"/>
              <w:left w:val="single" w:sz="4" w:space="0" w:color="auto"/>
              <w:bottom w:val="single" w:sz="4" w:space="0" w:color="auto"/>
              <w:right w:val="single" w:sz="4" w:space="0" w:color="auto"/>
            </w:tcBorders>
            <w:hideMark/>
          </w:tcPr>
          <w:p w14:paraId="77F5F53E" w14:textId="77777777" w:rsidR="004C3442" w:rsidRDefault="004C3442">
            <w:pPr>
              <w:tabs>
                <w:tab w:val="left" w:pos="720"/>
              </w:tabs>
              <w:spacing w:after="120"/>
              <w:ind w:right="162"/>
              <w:rPr>
                <w:rFonts w:cs="Calibri"/>
                <w:szCs w:val="24"/>
              </w:rPr>
            </w:pPr>
            <w:r>
              <w:rPr>
                <w:rFonts w:cs="Calibri"/>
                <w:szCs w:val="24"/>
              </w:rPr>
              <w:t>Second Reading</w:t>
            </w:r>
          </w:p>
        </w:tc>
        <w:tc>
          <w:tcPr>
            <w:tcW w:w="3150" w:type="dxa"/>
            <w:tcBorders>
              <w:top w:val="single" w:sz="4" w:space="0" w:color="auto"/>
              <w:left w:val="single" w:sz="4" w:space="0" w:color="auto"/>
              <w:bottom w:val="single" w:sz="4" w:space="0" w:color="auto"/>
              <w:right w:val="single" w:sz="4" w:space="0" w:color="auto"/>
            </w:tcBorders>
            <w:hideMark/>
          </w:tcPr>
          <w:p w14:paraId="31CE30AE" w14:textId="77777777" w:rsidR="004C3442" w:rsidRDefault="004C3442">
            <w:pPr>
              <w:tabs>
                <w:tab w:val="left" w:pos="720"/>
              </w:tabs>
              <w:spacing w:after="120"/>
              <w:ind w:right="-31"/>
              <w:rPr>
                <w:rFonts w:cs="Calibri"/>
                <w:szCs w:val="24"/>
              </w:rPr>
            </w:pPr>
            <w:r>
              <w:rPr>
                <w:rFonts w:cs="Calibri"/>
                <w:szCs w:val="24"/>
              </w:rPr>
              <w:t>February 5, 2024</w:t>
            </w:r>
          </w:p>
        </w:tc>
      </w:tr>
      <w:tr w:rsidR="004C3442" w14:paraId="3C40E3BF" w14:textId="77777777" w:rsidTr="004C3442">
        <w:trPr>
          <w:trHeight w:hRule="exact" w:val="317"/>
        </w:trPr>
        <w:tc>
          <w:tcPr>
            <w:tcW w:w="1957" w:type="dxa"/>
            <w:tcBorders>
              <w:top w:val="single" w:sz="4" w:space="0" w:color="auto"/>
              <w:left w:val="single" w:sz="4" w:space="0" w:color="auto"/>
              <w:bottom w:val="single" w:sz="4" w:space="0" w:color="auto"/>
              <w:right w:val="single" w:sz="4" w:space="0" w:color="auto"/>
            </w:tcBorders>
            <w:hideMark/>
          </w:tcPr>
          <w:p w14:paraId="5F36C120" w14:textId="77777777" w:rsidR="004C3442" w:rsidRDefault="004C3442">
            <w:pPr>
              <w:tabs>
                <w:tab w:val="left" w:pos="720"/>
              </w:tabs>
              <w:spacing w:after="120"/>
              <w:ind w:right="162"/>
              <w:rPr>
                <w:rFonts w:cs="Calibri"/>
                <w:szCs w:val="24"/>
              </w:rPr>
            </w:pPr>
            <w:r>
              <w:rPr>
                <w:rFonts w:cs="Calibri"/>
                <w:szCs w:val="24"/>
              </w:rPr>
              <w:t>Publication date</w:t>
            </w:r>
          </w:p>
        </w:tc>
        <w:tc>
          <w:tcPr>
            <w:tcW w:w="3150" w:type="dxa"/>
            <w:tcBorders>
              <w:top w:val="single" w:sz="4" w:space="0" w:color="auto"/>
              <w:left w:val="single" w:sz="4" w:space="0" w:color="auto"/>
              <w:bottom w:val="single" w:sz="4" w:space="0" w:color="auto"/>
              <w:right w:val="single" w:sz="4" w:space="0" w:color="auto"/>
            </w:tcBorders>
            <w:hideMark/>
          </w:tcPr>
          <w:p w14:paraId="529BC0D1" w14:textId="77777777" w:rsidR="004C3442" w:rsidRDefault="004C3442">
            <w:pPr>
              <w:tabs>
                <w:tab w:val="left" w:pos="720"/>
              </w:tabs>
              <w:spacing w:after="120"/>
              <w:ind w:right="-31"/>
              <w:rPr>
                <w:rFonts w:cs="Calibri"/>
                <w:szCs w:val="24"/>
              </w:rPr>
            </w:pPr>
            <w:r>
              <w:rPr>
                <w:rFonts w:cs="Calibri"/>
                <w:szCs w:val="24"/>
              </w:rPr>
              <w:t>February 15, 2024</w:t>
            </w:r>
          </w:p>
        </w:tc>
      </w:tr>
      <w:tr w:rsidR="004C3442" w14:paraId="5D4970BB" w14:textId="77777777" w:rsidTr="004C3442">
        <w:trPr>
          <w:trHeight w:hRule="exact" w:val="317"/>
        </w:trPr>
        <w:tc>
          <w:tcPr>
            <w:tcW w:w="1957" w:type="dxa"/>
            <w:tcBorders>
              <w:top w:val="single" w:sz="4" w:space="0" w:color="auto"/>
              <w:left w:val="single" w:sz="4" w:space="0" w:color="auto"/>
              <w:bottom w:val="single" w:sz="4" w:space="0" w:color="auto"/>
              <w:right w:val="single" w:sz="4" w:space="0" w:color="auto"/>
            </w:tcBorders>
            <w:hideMark/>
          </w:tcPr>
          <w:p w14:paraId="206DFDB7" w14:textId="77777777" w:rsidR="004C3442" w:rsidRDefault="004C3442">
            <w:pPr>
              <w:tabs>
                <w:tab w:val="left" w:pos="720"/>
              </w:tabs>
              <w:spacing w:after="120"/>
              <w:ind w:right="162"/>
              <w:rPr>
                <w:rFonts w:cs="Calibri"/>
                <w:b/>
                <w:bCs/>
                <w:szCs w:val="24"/>
              </w:rPr>
            </w:pPr>
            <w:r>
              <w:rPr>
                <w:rFonts w:cs="Calibri"/>
                <w:b/>
                <w:bCs/>
                <w:szCs w:val="24"/>
              </w:rPr>
              <w:t>Effective date</w:t>
            </w:r>
          </w:p>
        </w:tc>
        <w:tc>
          <w:tcPr>
            <w:tcW w:w="3150" w:type="dxa"/>
            <w:tcBorders>
              <w:top w:val="single" w:sz="4" w:space="0" w:color="auto"/>
              <w:left w:val="single" w:sz="4" w:space="0" w:color="auto"/>
              <w:bottom w:val="single" w:sz="4" w:space="0" w:color="auto"/>
              <w:right w:val="single" w:sz="4" w:space="0" w:color="auto"/>
            </w:tcBorders>
            <w:hideMark/>
          </w:tcPr>
          <w:p w14:paraId="36AB1B77" w14:textId="77777777" w:rsidR="004C3442" w:rsidRDefault="004C3442">
            <w:pPr>
              <w:tabs>
                <w:tab w:val="left" w:pos="720"/>
              </w:tabs>
              <w:spacing w:after="120"/>
              <w:ind w:right="-18"/>
              <w:rPr>
                <w:rFonts w:cs="Calibri"/>
                <w:b/>
                <w:bCs/>
                <w:szCs w:val="24"/>
              </w:rPr>
            </w:pPr>
            <w:r>
              <w:rPr>
                <w:rFonts w:cs="Calibri"/>
                <w:b/>
                <w:bCs/>
                <w:szCs w:val="24"/>
              </w:rPr>
              <w:t>March 1, 2024</w:t>
            </w:r>
          </w:p>
        </w:tc>
      </w:tr>
    </w:tbl>
    <w:p w14:paraId="6576A13B" w14:textId="77777777" w:rsidR="004C3442" w:rsidRDefault="004C3442" w:rsidP="004C3442">
      <w:pPr>
        <w:rPr>
          <w:rFonts w:cs="Calibri"/>
          <w:sz w:val="16"/>
          <w:szCs w:val="16"/>
        </w:rPr>
      </w:pPr>
    </w:p>
    <w:p w14:paraId="08E0FDDD" w14:textId="5CBE1832" w:rsidR="004C3442" w:rsidRDefault="004C3442" w:rsidP="004C3442">
      <w:pPr>
        <w:tabs>
          <w:tab w:val="left" w:pos="4860"/>
        </w:tabs>
        <w:rPr>
          <w:rFonts w:cs="Calibri"/>
          <w:szCs w:val="24"/>
        </w:rPr>
      </w:pPr>
      <w:r>
        <w:rPr>
          <w:rFonts w:cs="Calibri"/>
          <w:szCs w:val="24"/>
        </w:rPr>
        <w:t>Reviewed for administration:</w:t>
      </w:r>
      <w:r>
        <w:rPr>
          <w:rFonts w:cs="Calibri"/>
          <w:szCs w:val="24"/>
        </w:rPr>
        <w:tab/>
        <w:t>Adopted by the city council February 5, 2024</w:t>
      </w:r>
    </w:p>
    <w:p w14:paraId="731FC182" w14:textId="77777777" w:rsidR="004C3442" w:rsidRDefault="004C3442" w:rsidP="004C3442">
      <w:pPr>
        <w:tabs>
          <w:tab w:val="left" w:pos="4860"/>
        </w:tabs>
        <w:rPr>
          <w:rFonts w:cs="Calibri"/>
          <w:szCs w:val="24"/>
        </w:rPr>
      </w:pPr>
    </w:p>
    <w:p w14:paraId="04C625D4" w14:textId="77777777" w:rsidR="004C3442" w:rsidRDefault="004C3442" w:rsidP="004C3442">
      <w:pPr>
        <w:tabs>
          <w:tab w:val="left" w:pos="4860"/>
        </w:tabs>
        <w:rPr>
          <w:rFonts w:cs="Calibri"/>
          <w:szCs w:val="24"/>
        </w:rPr>
      </w:pPr>
    </w:p>
    <w:p w14:paraId="3A77B9B6" w14:textId="77777777" w:rsidR="004C3442" w:rsidRDefault="004C3442" w:rsidP="004C3442">
      <w:pPr>
        <w:tabs>
          <w:tab w:val="left" w:pos="4860"/>
        </w:tabs>
        <w:rPr>
          <w:rFonts w:cs="Calibri"/>
          <w:szCs w:val="24"/>
        </w:rPr>
      </w:pPr>
      <w:r>
        <w:rPr>
          <w:rFonts w:cs="Calibri"/>
          <w:szCs w:val="24"/>
        </w:rPr>
        <w:t>By: __________________________________</w:t>
      </w:r>
      <w:r>
        <w:rPr>
          <w:rFonts w:cs="Calibri"/>
          <w:szCs w:val="24"/>
        </w:rPr>
        <w:tab/>
        <w:t>By: __________________________________</w:t>
      </w:r>
    </w:p>
    <w:p w14:paraId="1E1C5E53" w14:textId="77777777" w:rsidR="004C3442" w:rsidRDefault="004C3442" w:rsidP="004C3442">
      <w:pPr>
        <w:tabs>
          <w:tab w:val="left" w:pos="4680"/>
          <w:tab w:val="left" w:pos="4860"/>
        </w:tabs>
        <w:rPr>
          <w:rFonts w:cs="Calibri"/>
          <w:szCs w:val="24"/>
        </w:rPr>
      </w:pPr>
      <w:r>
        <w:rPr>
          <w:rFonts w:cs="Calibri"/>
          <w:szCs w:val="24"/>
        </w:rPr>
        <w:t>       Kim Keller, city manager</w:t>
      </w:r>
      <w:r>
        <w:rPr>
          <w:rFonts w:cs="Calibri"/>
          <w:szCs w:val="24"/>
        </w:rPr>
        <w:tab/>
        <w:t>           Nadia Mohamed, mayor</w:t>
      </w:r>
    </w:p>
    <w:p w14:paraId="415B5C83" w14:textId="77777777" w:rsidR="004C3442" w:rsidRDefault="004C3442" w:rsidP="004C3442">
      <w:pPr>
        <w:tabs>
          <w:tab w:val="left" w:pos="4680"/>
          <w:tab w:val="left" w:pos="4860"/>
        </w:tabs>
        <w:rPr>
          <w:rFonts w:cs="Calibri"/>
          <w:szCs w:val="24"/>
        </w:rPr>
      </w:pPr>
    </w:p>
    <w:p w14:paraId="68F8D691" w14:textId="77777777" w:rsidR="004C3442" w:rsidRDefault="004C3442" w:rsidP="004C3442">
      <w:pPr>
        <w:tabs>
          <w:tab w:val="left" w:pos="4860"/>
        </w:tabs>
        <w:rPr>
          <w:rFonts w:cs="Calibri"/>
          <w:szCs w:val="24"/>
        </w:rPr>
      </w:pPr>
      <w:r>
        <w:rPr>
          <w:rFonts w:cs="Calibri"/>
          <w:szCs w:val="24"/>
        </w:rPr>
        <w:t>Attest:</w:t>
      </w:r>
      <w:r>
        <w:rPr>
          <w:rFonts w:cs="Calibri"/>
          <w:szCs w:val="24"/>
        </w:rPr>
        <w:tab/>
        <w:t>Approved as to form and execution:</w:t>
      </w:r>
    </w:p>
    <w:p w14:paraId="369128BE" w14:textId="77777777" w:rsidR="004C3442" w:rsidRDefault="004C3442" w:rsidP="004C3442">
      <w:pPr>
        <w:tabs>
          <w:tab w:val="left" w:pos="4860"/>
        </w:tabs>
        <w:rPr>
          <w:rFonts w:cs="Calibri"/>
          <w:szCs w:val="24"/>
        </w:rPr>
      </w:pPr>
    </w:p>
    <w:p w14:paraId="2D4C75BC" w14:textId="77777777" w:rsidR="004C3442" w:rsidRDefault="004C3442" w:rsidP="004C3442">
      <w:pPr>
        <w:tabs>
          <w:tab w:val="left" w:pos="4860"/>
        </w:tabs>
        <w:rPr>
          <w:rFonts w:cs="Calibri"/>
          <w:sz w:val="10"/>
          <w:szCs w:val="10"/>
        </w:rPr>
      </w:pPr>
    </w:p>
    <w:p w14:paraId="694D66D7" w14:textId="77777777" w:rsidR="004C3442" w:rsidRDefault="004C3442" w:rsidP="004C3442">
      <w:pPr>
        <w:tabs>
          <w:tab w:val="left" w:pos="4860"/>
        </w:tabs>
        <w:rPr>
          <w:rFonts w:cs="Calibri"/>
          <w:sz w:val="2"/>
          <w:szCs w:val="2"/>
        </w:rPr>
      </w:pPr>
    </w:p>
    <w:p w14:paraId="596F3320" w14:textId="77777777" w:rsidR="004C3442" w:rsidRDefault="004C3442" w:rsidP="004C3442">
      <w:pPr>
        <w:tabs>
          <w:tab w:val="left" w:pos="4860"/>
        </w:tabs>
        <w:rPr>
          <w:rFonts w:cs="Calibri"/>
          <w:szCs w:val="24"/>
        </w:rPr>
      </w:pPr>
      <w:r>
        <w:rPr>
          <w:rFonts w:cs="Calibri"/>
          <w:szCs w:val="24"/>
        </w:rPr>
        <w:t>____________________________________</w:t>
      </w:r>
      <w:r>
        <w:rPr>
          <w:rFonts w:cs="Calibri"/>
          <w:szCs w:val="24"/>
        </w:rPr>
        <w:tab/>
        <w:t>_____________________________________</w:t>
      </w:r>
    </w:p>
    <w:p w14:paraId="1A09377B" w14:textId="77777777" w:rsidR="004C3442" w:rsidRDefault="004C3442" w:rsidP="004C3442">
      <w:pPr>
        <w:tabs>
          <w:tab w:val="left" w:pos="4860"/>
        </w:tabs>
        <w:rPr>
          <w:rFonts w:cs="Calibri"/>
          <w:szCs w:val="24"/>
        </w:rPr>
      </w:pPr>
      <w:r>
        <w:rPr>
          <w:rFonts w:cs="Calibri"/>
          <w:szCs w:val="24"/>
        </w:rPr>
        <w:t>Melissa Kennedy, city clerk</w:t>
      </w:r>
      <w:r>
        <w:rPr>
          <w:rFonts w:cs="Calibri"/>
          <w:szCs w:val="24"/>
        </w:rPr>
        <w:tab/>
        <w:t>Soren M. Mattick, city attorney</w:t>
      </w:r>
    </w:p>
    <w:p w14:paraId="4FD66285" w14:textId="77777777" w:rsidR="00985AE9" w:rsidRDefault="00985AE9"/>
    <w:sectPr w:rsidR="00985AE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9DD30" w14:textId="77777777" w:rsidR="004C3442" w:rsidRDefault="004C3442" w:rsidP="004C3442">
      <w:r>
        <w:separator/>
      </w:r>
    </w:p>
  </w:endnote>
  <w:endnote w:type="continuationSeparator" w:id="0">
    <w:p w14:paraId="7EC6031F" w14:textId="77777777" w:rsidR="004C3442" w:rsidRDefault="004C3442" w:rsidP="004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6A7C" w14:textId="77777777" w:rsidR="004C3442" w:rsidRDefault="004C3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F8A2" w14:textId="77777777" w:rsidR="004C3442" w:rsidRDefault="004C3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4B89" w14:textId="77777777" w:rsidR="004C3442" w:rsidRDefault="004C3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5A916" w14:textId="77777777" w:rsidR="004C3442" w:rsidRDefault="004C3442" w:rsidP="004C3442">
      <w:r>
        <w:separator/>
      </w:r>
    </w:p>
  </w:footnote>
  <w:footnote w:type="continuationSeparator" w:id="0">
    <w:p w14:paraId="2FD53626" w14:textId="77777777" w:rsidR="004C3442" w:rsidRDefault="004C3442" w:rsidP="004C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3023" w14:textId="2F2883D7" w:rsidR="004C3442" w:rsidRDefault="004C3442">
    <w:pPr>
      <w:pStyle w:val="Header"/>
    </w:pPr>
    <w:r>
      <w:rPr>
        <w:noProof/>
      </w:rPr>
      <w:pict w14:anchorId="43B91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594"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3046" w14:textId="4EFCF044" w:rsidR="004C3442" w:rsidRDefault="004C3442">
    <w:pPr>
      <w:pStyle w:val="Header"/>
    </w:pPr>
    <w:r>
      <w:rPr>
        <w:noProof/>
      </w:rPr>
      <w:pict w14:anchorId="6B87A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595"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7B09" w14:textId="066ADBB7" w:rsidR="004C3442" w:rsidRDefault="004C3442">
    <w:pPr>
      <w:pStyle w:val="Header"/>
    </w:pPr>
    <w:r>
      <w:rPr>
        <w:noProof/>
      </w:rPr>
      <w:pict w14:anchorId="11731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593"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5116"/>
    <w:multiLevelType w:val="hybridMultilevel"/>
    <w:tmpl w:val="BAFA84CE"/>
    <w:lvl w:ilvl="0" w:tplc="71AEB48C">
      <w:start w:val="1"/>
      <w:numFmt w:val="lowerRoman"/>
      <w:lvlText w:val="(%1)"/>
      <w:lvlJc w:val="left"/>
      <w:pPr>
        <w:ind w:left="1080" w:hanging="720"/>
      </w:pPr>
      <w:rPr>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63344D"/>
    <w:multiLevelType w:val="hybridMultilevel"/>
    <w:tmpl w:val="7A021B56"/>
    <w:lvl w:ilvl="0" w:tplc="F85C6F16">
      <w:start w:val="7"/>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7E620C5"/>
    <w:multiLevelType w:val="hybridMultilevel"/>
    <w:tmpl w:val="40F09E02"/>
    <w:lvl w:ilvl="0" w:tplc="D51E831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42188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910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533228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42"/>
    <w:rsid w:val="004C3442"/>
    <w:rsid w:val="0052545B"/>
    <w:rsid w:val="0098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34700"/>
  <w15:chartTrackingRefBased/>
  <w15:docId w15:val="{1A80471D-15EF-46E3-B0CF-DB6493FE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42"/>
    <w:pPr>
      <w:spacing w:after="0" w:line="240" w:lineRule="auto"/>
    </w:pPr>
    <w:rPr>
      <w:rFonts w:ascii="Calibri" w:eastAsia="Times New Roman" w:hAnsi="Calibri" w:cs="Times New Roman"/>
      <w:kern w:val="0"/>
      <w:sz w:val="24"/>
      <w14:ligatures w14:val="none"/>
    </w:rPr>
  </w:style>
  <w:style w:type="paragraph" w:styleId="Heading1">
    <w:name w:val="heading 1"/>
    <w:basedOn w:val="Normal"/>
    <w:next w:val="Normal"/>
    <w:link w:val="Heading1Char"/>
    <w:uiPriority w:val="9"/>
    <w:qFormat/>
    <w:rsid w:val="004C3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4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4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4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4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442"/>
    <w:rPr>
      <w:rFonts w:eastAsiaTheme="majorEastAsia" w:cstheme="majorBidi"/>
      <w:color w:val="272727" w:themeColor="text1" w:themeTint="D8"/>
    </w:rPr>
  </w:style>
  <w:style w:type="paragraph" w:styleId="Title">
    <w:name w:val="Title"/>
    <w:basedOn w:val="Normal"/>
    <w:next w:val="Normal"/>
    <w:link w:val="TitleChar"/>
    <w:uiPriority w:val="10"/>
    <w:qFormat/>
    <w:rsid w:val="004C34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442"/>
    <w:pPr>
      <w:spacing w:before="160"/>
      <w:jc w:val="center"/>
    </w:pPr>
    <w:rPr>
      <w:i/>
      <w:iCs/>
      <w:color w:val="404040" w:themeColor="text1" w:themeTint="BF"/>
    </w:rPr>
  </w:style>
  <w:style w:type="character" w:customStyle="1" w:styleId="QuoteChar">
    <w:name w:val="Quote Char"/>
    <w:basedOn w:val="DefaultParagraphFont"/>
    <w:link w:val="Quote"/>
    <w:uiPriority w:val="29"/>
    <w:rsid w:val="004C3442"/>
    <w:rPr>
      <w:i/>
      <w:iCs/>
      <w:color w:val="404040" w:themeColor="text1" w:themeTint="BF"/>
    </w:rPr>
  </w:style>
  <w:style w:type="paragraph" w:styleId="ListParagraph">
    <w:name w:val="List Paragraph"/>
    <w:basedOn w:val="Normal"/>
    <w:link w:val="ListParagraphChar"/>
    <w:uiPriority w:val="34"/>
    <w:qFormat/>
    <w:rsid w:val="004C3442"/>
    <w:pPr>
      <w:ind w:left="720"/>
      <w:contextualSpacing/>
    </w:pPr>
  </w:style>
  <w:style w:type="character" w:styleId="IntenseEmphasis">
    <w:name w:val="Intense Emphasis"/>
    <w:basedOn w:val="DefaultParagraphFont"/>
    <w:uiPriority w:val="21"/>
    <w:qFormat/>
    <w:rsid w:val="004C3442"/>
    <w:rPr>
      <w:i/>
      <w:iCs/>
      <w:color w:val="0F4761" w:themeColor="accent1" w:themeShade="BF"/>
    </w:rPr>
  </w:style>
  <w:style w:type="paragraph" w:styleId="IntenseQuote">
    <w:name w:val="Intense Quote"/>
    <w:basedOn w:val="Normal"/>
    <w:next w:val="Normal"/>
    <w:link w:val="IntenseQuoteChar"/>
    <w:uiPriority w:val="30"/>
    <w:qFormat/>
    <w:rsid w:val="004C3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442"/>
    <w:rPr>
      <w:i/>
      <w:iCs/>
      <w:color w:val="0F4761" w:themeColor="accent1" w:themeShade="BF"/>
    </w:rPr>
  </w:style>
  <w:style w:type="character" w:styleId="IntenseReference">
    <w:name w:val="Intense Reference"/>
    <w:basedOn w:val="DefaultParagraphFont"/>
    <w:uiPriority w:val="32"/>
    <w:qFormat/>
    <w:rsid w:val="004C3442"/>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4C3442"/>
  </w:style>
  <w:style w:type="paragraph" w:customStyle="1" w:styleId="CodeBook123">
    <w:name w:val="Code Book 123"/>
    <w:basedOn w:val="Normal"/>
    <w:rsid w:val="004C3442"/>
    <w:pPr>
      <w:tabs>
        <w:tab w:val="left" w:pos="360"/>
      </w:tabs>
      <w:spacing w:after="120"/>
      <w:ind w:left="907" w:hanging="907"/>
      <w:jc w:val="both"/>
    </w:pPr>
    <w:rPr>
      <w:rFonts w:ascii="Times New Roman" w:hAnsi="Times New Roman"/>
      <w:sz w:val="22"/>
    </w:rPr>
  </w:style>
  <w:style w:type="paragraph" w:customStyle="1" w:styleId="CodeBookABC">
    <w:name w:val="Code Book ABC"/>
    <w:basedOn w:val="Normal"/>
    <w:rsid w:val="004C3442"/>
    <w:pPr>
      <w:tabs>
        <w:tab w:val="left" w:pos="720"/>
      </w:tabs>
      <w:spacing w:after="120"/>
      <w:ind w:firstLine="360"/>
      <w:jc w:val="both"/>
    </w:pPr>
    <w:rPr>
      <w:rFonts w:ascii="Times New Roman" w:hAnsi="Times New Roman"/>
      <w:sz w:val="22"/>
    </w:rPr>
  </w:style>
  <w:style w:type="table" w:styleId="TableGrid">
    <w:name w:val="Table Grid"/>
    <w:basedOn w:val="TableNormal"/>
    <w:rsid w:val="004C3442"/>
    <w:pPr>
      <w:spacing w:after="0" w:line="240" w:lineRule="auto"/>
    </w:pPr>
    <w:rPr>
      <w:rFonts w:ascii="Calibri" w:eastAsia="Times New Roman" w:hAnsi="Calibri" w:cs="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442"/>
    <w:pPr>
      <w:tabs>
        <w:tab w:val="center" w:pos="4680"/>
        <w:tab w:val="right" w:pos="9360"/>
      </w:tabs>
    </w:pPr>
  </w:style>
  <w:style w:type="character" w:customStyle="1" w:styleId="HeaderChar">
    <w:name w:val="Header Char"/>
    <w:basedOn w:val="DefaultParagraphFont"/>
    <w:link w:val="Header"/>
    <w:uiPriority w:val="99"/>
    <w:rsid w:val="004C3442"/>
    <w:rPr>
      <w:rFonts w:ascii="Calibri" w:eastAsia="Times New Roman" w:hAnsi="Calibri" w:cs="Times New Roman"/>
      <w:kern w:val="0"/>
      <w:sz w:val="24"/>
      <w14:ligatures w14:val="none"/>
    </w:rPr>
  </w:style>
  <w:style w:type="paragraph" w:styleId="Footer">
    <w:name w:val="footer"/>
    <w:basedOn w:val="Normal"/>
    <w:link w:val="FooterChar"/>
    <w:uiPriority w:val="99"/>
    <w:unhideWhenUsed/>
    <w:rsid w:val="004C3442"/>
    <w:pPr>
      <w:tabs>
        <w:tab w:val="center" w:pos="4680"/>
        <w:tab w:val="right" w:pos="9360"/>
      </w:tabs>
    </w:pPr>
  </w:style>
  <w:style w:type="character" w:customStyle="1" w:styleId="FooterChar">
    <w:name w:val="Footer Char"/>
    <w:basedOn w:val="DefaultParagraphFont"/>
    <w:link w:val="Footer"/>
    <w:uiPriority w:val="99"/>
    <w:rsid w:val="004C3442"/>
    <w:rPr>
      <w:rFonts w:ascii="Calibri" w:eastAsia="Times New Roman" w:hAnsi="Calibri"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7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4F5FADA013C4ABE2BDE59400415AF" ma:contentTypeVersion="19" ma:contentTypeDescription="Create a new document." ma:contentTypeScope="" ma:versionID="8866992f9255dc130cb011c8e18e4f7b">
  <xsd:schema xmlns:xsd="http://www.w3.org/2001/XMLSchema" xmlns:xs="http://www.w3.org/2001/XMLSchema" xmlns:p="http://schemas.microsoft.com/office/2006/metadata/properties" xmlns:ns2="48a7f919-fd8c-4585-8f9e-8d6e7093a214" xmlns:ns3="6cca6320-a0c3-4a30-b67b-5bb903e4870a" targetNamespace="http://schemas.microsoft.com/office/2006/metadata/properties" ma:root="true" ma:fieldsID="1775cf250599b8b7cea9068144000e3e" ns2:_="" ns3:_="">
    <xsd:import namespace="48a7f919-fd8c-4585-8f9e-8d6e7093a214"/>
    <xsd:import namespace="6cca6320-a0c3-4a30-b67b-5bb903e48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7f919-fd8c-4585-8f9e-8d6e7093a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22ebb9-8622-4863-9bef-decd842442c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a6320-a0c3-4a30-b67b-5bb903e487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649face-54f2-4744-843a-3feaa98d866e}" ma:internalName="TaxCatchAll" ma:showField="CatchAllData" ma:web="6cca6320-a0c3-4a30-b67b-5bb903e48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C70B2-A221-429A-8FAF-37240E1A72DC}"/>
</file>

<file path=customXml/itemProps2.xml><?xml version="1.0" encoding="utf-8"?>
<ds:datastoreItem xmlns:ds="http://schemas.openxmlformats.org/officeDocument/2006/customXml" ds:itemID="{C6F3EC68-6108-4DF5-9F5C-94CF533382A9}"/>
</file>

<file path=docProps/app.xml><?xml version="1.0" encoding="utf-8"?>
<Properties xmlns="http://schemas.openxmlformats.org/officeDocument/2006/extended-properties" xmlns:vt="http://schemas.openxmlformats.org/officeDocument/2006/docPropsVTypes">
  <Template>Normal</Template>
  <TotalTime>8</TotalTime>
  <Pages>3</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Kennedy</dc:creator>
  <cp:keywords/>
  <dc:description/>
  <cp:lastModifiedBy>Melissa Kennedy</cp:lastModifiedBy>
  <cp:revision>1</cp:revision>
  <dcterms:created xsi:type="dcterms:W3CDTF">2024-01-10T02:12:00Z</dcterms:created>
  <dcterms:modified xsi:type="dcterms:W3CDTF">2024-01-10T02:20:00Z</dcterms:modified>
</cp:coreProperties>
</file>